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DC0" w:rsidRPr="00EE0DC0" w:rsidRDefault="00C37686" w:rsidP="00EE0DC0">
      <w:pPr>
        <w:widowControl/>
        <w:shd w:val="clear" w:color="auto" w:fill="FFFFFF"/>
        <w:spacing w:line="500" w:lineRule="exact"/>
        <w:jc w:val="center"/>
        <w:rPr>
          <w:rFonts w:ascii="微软雅黑" w:eastAsia="微软雅黑" w:hAnsi="微软雅黑" w:cs="宋体" w:hint="eastAsia"/>
          <w:b/>
          <w:bCs/>
          <w:color w:val="333333"/>
          <w:kern w:val="0"/>
          <w:sz w:val="40"/>
          <w:szCs w:val="40"/>
          <w:bdr w:val="none" w:sz="0" w:space="0" w:color="auto" w:frame="1"/>
        </w:rPr>
      </w:pPr>
      <w:r>
        <w:rPr>
          <w:rFonts w:ascii="微软雅黑" w:eastAsia="微软雅黑" w:hAnsi="微软雅黑" w:cs="宋体" w:hint="eastAsia"/>
          <w:b/>
          <w:bCs/>
          <w:color w:val="333333"/>
          <w:kern w:val="0"/>
          <w:sz w:val="40"/>
          <w:szCs w:val="40"/>
          <w:bdr w:val="none" w:sz="0" w:space="0" w:color="auto" w:frame="1"/>
        </w:rPr>
        <w:t>【</w:t>
      </w:r>
      <w:r w:rsidR="00EE0DC0" w:rsidRPr="00EE0DC0">
        <w:rPr>
          <w:rFonts w:ascii="微软雅黑" w:eastAsia="微软雅黑" w:hAnsi="微软雅黑" w:cs="宋体" w:hint="eastAsia"/>
          <w:b/>
          <w:bCs/>
          <w:color w:val="333333"/>
          <w:kern w:val="0"/>
          <w:sz w:val="40"/>
          <w:szCs w:val="40"/>
          <w:bdr w:val="none" w:sz="0" w:space="0" w:color="auto" w:frame="1"/>
        </w:rPr>
        <w:t>工伤保险辅助器具配置管理办法</w:t>
      </w:r>
      <w:r>
        <w:rPr>
          <w:rFonts w:ascii="微软雅黑" w:eastAsia="微软雅黑" w:hAnsi="微软雅黑" w:cs="宋体" w:hint="eastAsia"/>
          <w:b/>
          <w:bCs/>
          <w:color w:val="333333"/>
          <w:kern w:val="0"/>
          <w:sz w:val="40"/>
          <w:szCs w:val="40"/>
          <w:bdr w:val="none" w:sz="0" w:space="0" w:color="auto" w:frame="1"/>
        </w:rPr>
        <w:t>】</w:t>
      </w:r>
    </w:p>
    <w:p w:rsidR="00EE0DC0" w:rsidRPr="00EE0DC0" w:rsidRDefault="00EE0DC0" w:rsidP="00EE0DC0">
      <w:pPr>
        <w:widowControl/>
        <w:shd w:val="clear" w:color="auto" w:fill="FFFFFF"/>
        <w:spacing w:line="240" w:lineRule="exact"/>
        <w:ind w:firstLine="480"/>
        <w:jc w:val="center"/>
        <w:rPr>
          <w:rFonts w:ascii="微软雅黑" w:eastAsia="微软雅黑" w:hAnsi="微软雅黑" w:cs="宋体"/>
          <w:color w:val="333333"/>
          <w:kern w:val="0"/>
          <w:szCs w:val="21"/>
        </w:rPr>
      </w:pPr>
    </w:p>
    <w:p w:rsidR="00EE0DC0" w:rsidRPr="00EE0DC0" w:rsidRDefault="00EE0DC0" w:rsidP="00EE0DC0">
      <w:pPr>
        <w:widowControl/>
        <w:shd w:val="clear" w:color="auto" w:fill="FFFFFF"/>
        <w:spacing w:line="240" w:lineRule="exact"/>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(2015年2月16日人力资源社会保障部、民政部、国家卫生计生委令第27号公布 自2016年4月1日起施行)</w:t>
      </w:r>
    </w:p>
    <w:p w:rsidR="00EE0DC0" w:rsidRPr="00EE0DC0" w:rsidRDefault="00EE0DC0" w:rsidP="00EE0DC0">
      <w:pPr>
        <w:widowControl/>
        <w:shd w:val="clear" w:color="auto" w:fill="FFFFFF"/>
        <w:spacing w:line="240" w:lineRule="exact"/>
        <w:ind w:firstLine="480"/>
        <w:jc w:val="center"/>
        <w:rPr>
          <w:rFonts w:ascii="微软雅黑" w:eastAsia="微软雅黑" w:hAnsi="微软雅黑" w:cs="宋体" w:hint="eastAsia"/>
          <w:color w:val="333333"/>
          <w:kern w:val="0"/>
          <w:szCs w:val="21"/>
        </w:rPr>
      </w:pPr>
      <w:r w:rsidRPr="00EE0DC0">
        <w:rPr>
          <w:rFonts w:ascii="微软雅黑" w:eastAsia="微软雅黑" w:hAnsi="微软雅黑" w:cs="宋体" w:hint="eastAsia"/>
          <w:b/>
          <w:bCs/>
          <w:color w:val="333333"/>
          <w:kern w:val="0"/>
          <w:szCs w:val="21"/>
          <w:bdr w:val="none" w:sz="0" w:space="0" w:color="auto" w:frame="1"/>
        </w:rPr>
        <w:br/>
      </w:r>
    </w:p>
    <w:p w:rsidR="00EE0DC0" w:rsidRPr="00EE0DC0" w:rsidRDefault="00EE0DC0" w:rsidP="00EE0DC0">
      <w:pPr>
        <w:widowControl/>
        <w:shd w:val="clear" w:color="auto" w:fill="FFFFFF"/>
        <w:spacing w:line="240" w:lineRule="exact"/>
        <w:ind w:firstLine="480"/>
        <w:jc w:val="center"/>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第一章 总  则</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第一条  为了规范工伤保险辅助器具配置管理，维护工伤职工的合法权益，根据《工伤保险条例》，制定本办法。</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第二条  工伤职工因日常生活或者就业需要，经劳动能力鉴定委员会确认，配置假肢、矫形器、假眼、假牙和轮椅等辅助器具的，适用本办法。</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第三条  人力资源社会保障行政部门负责工伤保险辅助器具配置的监督管理工作。民政、卫生计生等行政部门在各自职责范围内负责工伤保险辅助器具配置的有关监督管理工作。</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社会保险经办机构（以下称经办机构）负责对申请承担工伤保险辅助器具配置服务的辅助器具装配机构和医疗机构（以下称工伤保险辅助器具配置机构）进行协议管理，并按照规定核付配置费用。</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第四条  设区的市级（含直辖市的市辖区、县）劳动能力鉴定委员会（以下称劳动能力鉴定委员会）负责工伤保险辅助器具配置的确认工作。</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第五条  省、自治区、直辖市人力资源社会保障行政部门负责制定工伤保险辅助器具配置机构评估确定办法。</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经办机构按照评估确定办法，与工伤保险辅助器具配置机构签订服务协议，并向社会公布签订服务协议的工伤保险辅助器具配置机构（以下称协议机构）名单。</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第六条  人力资源社会保障部根据社会经济发展水平、工伤职工日常生活和就业需要等，组织制定国家工伤保险辅助器具配置目录，确定配置项目、适用范围、最低使用年限等内容，并适时调整。</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省、自治区、直辖市人力资源社会保障行政部门可以结合本地区实际，在国家目录确定的配置项目基础上，制定省级工伤保险辅助器具配置目录，适当增加辅助器具配置项目，并确定本地区辅助器具配置最高支付限额等具体标准。</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center"/>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vertAlign w:val="subscript"/>
        </w:rPr>
        <w:t>第二章 确认与配置程序</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第七条  工伤职工认为需要配置辅助器具的，可以向劳动能力鉴定委员会提出辅助器具配置确认申请，并提交下列材料：</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（一）《工伤认定决定书》原件和复印件，或者其他确认工伤的文件；</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（二）居民身份证或者社会保障卡等有效身份证明原件和复印件；</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（三）有效的诊断证明、按照医疗机构病历管理有关规定复印或者复制的检查、检验报告等完整病历材料。</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工伤职工本人因身体等原因无法提出申请的，可由其近亲属或者用人单位代为申请。</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第八条  劳动能力鉴定委员会收到辅助器具配置确认申请后，应当及时审核；材料不完整的，应当自收到申请之日起5个工作日内一次性书面告知申请人需要补正的全部材料；材料完整的，应当在收到申请之日起60日内</w:t>
      </w:r>
      <w:proofErr w:type="gramStart"/>
      <w:r w:rsidRPr="00EE0DC0">
        <w:rPr>
          <w:rFonts w:ascii="微软雅黑" w:eastAsia="微软雅黑" w:hAnsi="微软雅黑" w:cs="宋体" w:hint="eastAsia"/>
          <w:color w:val="333333"/>
          <w:kern w:val="0"/>
          <w:szCs w:val="21"/>
          <w:bdr w:val="none" w:sz="0" w:space="0" w:color="auto" w:frame="1"/>
        </w:rPr>
        <w:t>作出</w:t>
      </w:r>
      <w:proofErr w:type="gramEnd"/>
      <w:r w:rsidRPr="00EE0DC0">
        <w:rPr>
          <w:rFonts w:ascii="微软雅黑" w:eastAsia="微软雅黑" w:hAnsi="微软雅黑" w:cs="宋体" w:hint="eastAsia"/>
          <w:color w:val="333333"/>
          <w:kern w:val="0"/>
          <w:szCs w:val="21"/>
          <w:bdr w:val="none" w:sz="0" w:space="0" w:color="auto" w:frame="1"/>
        </w:rPr>
        <w:t>确认结论。伤情复杂、涉及医疗卫生专业较多的，</w:t>
      </w:r>
      <w:proofErr w:type="gramStart"/>
      <w:r w:rsidRPr="00EE0DC0">
        <w:rPr>
          <w:rFonts w:ascii="微软雅黑" w:eastAsia="微软雅黑" w:hAnsi="微软雅黑" w:cs="宋体" w:hint="eastAsia"/>
          <w:color w:val="333333"/>
          <w:kern w:val="0"/>
          <w:szCs w:val="21"/>
          <w:bdr w:val="none" w:sz="0" w:space="0" w:color="auto" w:frame="1"/>
        </w:rPr>
        <w:t>作出</w:t>
      </w:r>
      <w:proofErr w:type="gramEnd"/>
      <w:r w:rsidRPr="00EE0DC0">
        <w:rPr>
          <w:rFonts w:ascii="微软雅黑" w:eastAsia="微软雅黑" w:hAnsi="微软雅黑" w:cs="宋体" w:hint="eastAsia"/>
          <w:color w:val="333333"/>
          <w:kern w:val="0"/>
          <w:szCs w:val="21"/>
          <w:bdr w:val="none" w:sz="0" w:space="0" w:color="auto" w:frame="1"/>
        </w:rPr>
        <w:t>确认结论的期限可以延长30日。</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第九条  劳动能力鉴定委员会专家</w:t>
      </w:r>
      <w:proofErr w:type="gramStart"/>
      <w:r w:rsidRPr="00EE0DC0">
        <w:rPr>
          <w:rFonts w:ascii="微软雅黑" w:eastAsia="微软雅黑" w:hAnsi="微软雅黑" w:cs="宋体" w:hint="eastAsia"/>
          <w:color w:val="333333"/>
          <w:kern w:val="0"/>
          <w:szCs w:val="21"/>
          <w:bdr w:val="none" w:sz="0" w:space="0" w:color="auto" w:frame="1"/>
        </w:rPr>
        <w:t>库应当</w:t>
      </w:r>
      <w:proofErr w:type="gramEnd"/>
      <w:r w:rsidRPr="00EE0DC0">
        <w:rPr>
          <w:rFonts w:ascii="微软雅黑" w:eastAsia="微软雅黑" w:hAnsi="微软雅黑" w:cs="宋体" w:hint="eastAsia"/>
          <w:color w:val="333333"/>
          <w:kern w:val="0"/>
          <w:szCs w:val="21"/>
          <w:bdr w:val="none" w:sz="0" w:space="0" w:color="auto" w:frame="1"/>
        </w:rPr>
        <w:t>配备辅助器具配置专家，从事辅助器具配置确认工作。</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劳动能力鉴定委员会应当根据配置确认申请材料，从专家库中随机抽取3名或者5名专家组成专家组，对工伤职工本人进行现场配置确认。专家组中至少包括1名辅助器具配置专家、2名与工伤职工伤情相关的专家。</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第十条  专家组根据工伤职工伤情，依据工伤保险辅助器具配置目录有关规定，提出是否予以配置的确认意见。专家意见不一致时，按照少数服从多数的原则确定专家组的意见。</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劳动能力鉴定委员会根据专家组确认意见</w:t>
      </w:r>
      <w:proofErr w:type="gramStart"/>
      <w:r w:rsidRPr="00EE0DC0">
        <w:rPr>
          <w:rFonts w:ascii="微软雅黑" w:eastAsia="微软雅黑" w:hAnsi="微软雅黑" w:cs="宋体" w:hint="eastAsia"/>
          <w:color w:val="333333"/>
          <w:kern w:val="0"/>
          <w:szCs w:val="21"/>
          <w:bdr w:val="none" w:sz="0" w:space="0" w:color="auto" w:frame="1"/>
        </w:rPr>
        <w:t>作出</w:t>
      </w:r>
      <w:proofErr w:type="gramEnd"/>
      <w:r w:rsidRPr="00EE0DC0">
        <w:rPr>
          <w:rFonts w:ascii="微软雅黑" w:eastAsia="微软雅黑" w:hAnsi="微软雅黑" w:cs="宋体" w:hint="eastAsia"/>
          <w:color w:val="333333"/>
          <w:kern w:val="0"/>
          <w:szCs w:val="21"/>
          <w:bdr w:val="none" w:sz="0" w:space="0" w:color="auto" w:frame="1"/>
        </w:rPr>
        <w:t>配置辅助器具确认结论。其中，确认予以配置的，应当载明确认配置的理由、依据和辅助器具名称等信息；确认不予配置的，应当说明不予配置的理由。</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第十一条  劳动能力鉴定委员会应当自</w:t>
      </w:r>
      <w:proofErr w:type="gramStart"/>
      <w:r w:rsidRPr="00EE0DC0">
        <w:rPr>
          <w:rFonts w:ascii="微软雅黑" w:eastAsia="微软雅黑" w:hAnsi="微软雅黑" w:cs="宋体" w:hint="eastAsia"/>
          <w:color w:val="333333"/>
          <w:kern w:val="0"/>
          <w:szCs w:val="21"/>
          <w:bdr w:val="none" w:sz="0" w:space="0" w:color="auto" w:frame="1"/>
        </w:rPr>
        <w:t>作出</w:t>
      </w:r>
      <w:proofErr w:type="gramEnd"/>
      <w:r w:rsidRPr="00EE0DC0">
        <w:rPr>
          <w:rFonts w:ascii="微软雅黑" w:eastAsia="微软雅黑" w:hAnsi="微软雅黑" w:cs="宋体" w:hint="eastAsia"/>
          <w:color w:val="333333"/>
          <w:kern w:val="0"/>
          <w:szCs w:val="21"/>
          <w:bdr w:val="none" w:sz="0" w:space="0" w:color="auto" w:frame="1"/>
        </w:rPr>
        <w:t>确认结论之日起20日内将确认结论送达工伤职工及其用人单位，并抄送经办机构。</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第十二条  工伤职工收到予以配置的确认结论后，及时向经办机构进行登记，经办机构向工伤职工出具配置费用核付通知单，并告知下列事项：</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（一）工伤职工应当到协议机构进行配置；</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（二）确认配置的辅助器具最高支付限额和最低使用年限；</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（三）工伤职工配置辅助</w:t>
      </w:r>
      <w:proofErr w:type="gramStart"/>
      <w:r w:rsidRPr="00EE0DC0">
        <w:rPr>
          <w:rFonts w:ascii="微软雅黑" w:eastAsia="微软雅黑" w:hAnsi="微软雅黑" w:cs="宋体" w:hint="eastAsia"/>
          <w:color w:val="333333"/>
          <w:kern w:val="0"/>
          <w:szCs w:val="21"/>
          <w:bdr w:val="none" w:sz="0" w:space="0" w:color="auto" w:frame="1"/>
        </w:rPr>
        <w:t>器具超</w:t>
      </w:r>
      <w:proofErr w:type="gramEnd"/>
      <w:r w:rsidRPr="00EE0DC0">
        <w:rPr>
          <w:rFonts w:ascii="微软雅黑" w:eastAsia="微软雅黑" w:hAnsi="微软雅黑" w:cs="宋体" w:hint="eastAsia"/>
          <w:color w:val="333333"/>
          <w:kern w:val="0"/>
          <w:szCs w:val="21"/>
          <w:bdr w:val="none" w:sz="0" w:space="0" w:color="auto" w:frame="1"/>
        </w:rPr>
        <w:t>目录或者超出限额部分的费用，工伤保险基金不予支付。</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第十三条  工伤职工可以持配置费用核付通知单，选择协议机构配置辅助器具。</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协议机构应当根据与经办机构签订的服务协议，为工伤职工提供配置服务，并如实记录工伤职工信息、配置器具产品信息、最高支付限额、最低使用年限以及实际配置费用等配置服务事项。</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前款规定的配置服务记录经工伤职工签字后，分别由工伤职工和协议机构留存。</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第十四条  协议机构或者工伤职工与经办机构结算配置费用时，应当出具配置服务记录。经办机构核查后，应当按照工伤保险辅助器具配置目录有关规定及时支付费用。</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第十五条  工伤职工配置辅助器具的费用包括安装、维修、训练等费用，按照规定由工伤保险基金支付。</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经经办机构同意，工伤职工到统筹地区以外的协议机构配置辅助器具发生的交通、食宿费用，可以按照统筹地区人力资源社会保障行政部门的规定，由工伤保险基金支付。</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第十六条  辅助器具达到规定的最低使用年限的，工伤职工可以按照统筹地区人力资源社会保障行政部门的规定申请更换。</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lastRenderedPageBreak/>
        <w:t>工伤职工因伤情发生变化，需要更换主要部件或者配置新的辅助器具的，经向劳动能力鉴定委员会重新提出确认申请并经确认后，由工伤保险基金支付配置费用。</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center"/>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第三章 管理与监督</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第十七条  辅助器具配置专家应当具备下列条件之一：</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（一）具有医疗卫生中高级专业技术职务任职资格；</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（二）具有</w:t>
      </w:r>
      <w:proofErr w:type="gramStart"/>
      <w:r w:rsidRPr="00EE0DC0">
        <w:rPr>
          <w:rFonts w:ascii="微软雅黑" w:eastAsia="微软雅黑" w:hAnsi="微软雅黑" w:cs="宋体" w:hint="eastAsia"/>
          <w:color w:val="333333"/>
          <w:kern w:val="0"/>
          <w:szCs w:val="21"/>
          <w:bdr w:val="none" w:sz="0" w:space="0" w:color="auto" w:frame="1"/>
        </w:rPr>
        <w:t>假肢师或者</w:t>
      </w:r>
      <w:proofErr w:type="gramEnd"/>
      <w:r w:rsidRPr="00EE0DC0">
        <w:rPr>
          <w:rFonts w:ascii="微软雅黑" w:eastAsia="微软雅黑" w:hAnsi="微软雅黑" w:cs="宋体" w:hint="eastAsia"/>
          <w:color w:val="333333"/>
          <w:kern w:val="0"/>
          <w:szCs w:val="21"/>
          <w:bdr w:val="none" w:sz="0" w:space="0" w:color="auto" w:frame="1"/>
        </w:rPr>
        <w:t>矫形器师职业资格；</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（三）从事辅助器具配置专业技术工作5年以上。</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辅助器具配置专家应当具有良好的职业品德。</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第十八条  工伤保险辅助器具配置机构的具体条件，由省、自治区、直辖市人力资源社会保障行政部门会同民政、卫生计生行政部门规定。</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第十九条  经办机构与工伤保险辅助器具配置机构签订的服务协议，应当包括下列内容：</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（一）经办机构与协议机构名称、法定代表人或者主要负责人等基本信息；</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（二）服务协议期限；</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（三）配置服务内容；</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（四）配置费用结算；</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（五）配置管理要求；</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（六）违约责任及争议处理；</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（七）法律、法规规定应当纳入服务协议的其他事项。</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第二十条  配置的辅助器具应当符合相关国家标准或者行业标准。统一规格的产品或者材料等辅助器具在装配前应当由国家授权的产品质量检测机构出具质量检测报告，标注生产厂家、产品品牌、型号、材料、功能、出品日期、使用期和保修期等事项。</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第二十一条  协议机构应当建立工伤职工配置服务档案，并至少保存至服务期限结束之日起两年。经办机构可以对配置服务档案进行抽查，并作为结算配置费用的依据之一。</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第二十二条  经办机构应当建立辅助器具配置工作回访制度，对辅助器具装配的质量和服务进行跟踪检查，并将检查结果作为对协议机构的评价依据。</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第二十三条  工伤保险辅助器具配置机构违反国家规定的辅助器具配置管理服务标准，侵害工伤职工合法权益的，由民政、卫生计生行政部门在各自监管职责范围内依法处理。</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第二十四条  有下列情形之一的，经办机构不予支付配置费用：</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（一）未经劳动能力鉴定委员会确认，自行配置辅助器具的；</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（二）在非协议机构配置辅助器具的；</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（三）配置辅助</w:t>
      </w:r>
      <w:proofErr w:type="gramStart"/>
      <w:r w:rsidRPr="00EE0DC0">
        <w:rPr>
          <w:rFonts w:ascii="微软雅黑" w:eastAsia="微软雅黑" w:hAnsi="微软雅黑" w:cs="宋体" w:hint="eastAsia"/>
          <w:color w:val="333333"/>
          <w:kern w:val="0"/>
          <w:szCs w:val="21"/>
          <w:bdr w:val="none" w:sz="0" w:space="0" w:color="auto" w:frame="1"/>
        </w:rPr>
        <w:t>器具超</w:t>
      </w:r>
      <w:proofErr w:type="gramEnd"/>
      <w:r w:rsidRPr="00EE0DC0">
        <w:rPr>
          <w:rFonts w:ascii="微软雅黑" w:eastAsia="微软雅黑" w:hAnsi="微软雅黑" w:cs="宋体" w:hint="eastAsia"/>
          <w:color w:val="333333"/>
          <w:kern w:val="0"/>
          <w:szCs w:val="21"/>
          <w:bdr w:val="none" w:sz="0" w:space="0" w:color="auto" w:frame="1"/>
        </w:rPr>
        <w:t>目录或者超出限额部分的；</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（四）违反规定更换辅助器具的。</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第二十五条  工伤职工或者其近亲属认为经办机构未依法支付辅助器具配置费用，或者协议机构认为经办机构未履行有关协议的，可以依法申请行政复议或者提起行政诉讼。</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center"/>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第四章 法律责任</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第二十六条  经办机构在协议机构管理和核付配置费用过程中收受当事人财物的，由人力资源社会保障行政部门责令改正，对直接负责的主管人员和其他直接责任人员依法给予处分；情节严重，构成犯罪的，依法追究刑事责任。</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第二十七条  从事工伤保险辅助器具配置确认工作的组织或者个人有下列情形之一的，由人力资源社会保障行政部门责令改正，处2000元以上1万元以下的罚款；情节严重，构成犯罪的，依法追究刑事责任：</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（一）提供虚假确认意见的；</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（二）提供虚假诊断证明或者病历的；</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（三）收受当事人财物的。</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第二十八条  协议机构不按照服务协议提供服务的，经办机构可以解除服务协议，并按照服务协议追究相应责任。</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经办机构不按时足额结算配置费用的，由人力资源社会保障行政部门责令改正；协议机构可以解除服务协议。</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第二十九条  用人单位、工伤职工或者其近亲属骗取工伤保险待遇，辅助器具装配机构、医疗机构骗取工伤保险基金支出的，按照《工伤保险条例》第六十条的规定，由人力资源社会保障行政部门责令退还，处骗取金额2倍以上5倍以下的罚款；情节严重，构成犯罪的，依法追究刑事责任。</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center"/>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第五章 附  则</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hint="eastAsia"/>
          <w:color w:val="333333"/>
          <w:kern w:val="0"/>
          <w:szCs w:val="21"/>
        </w:rPr>
      </w:pPr>
      <w:r w:rsidRPr="00EE0DC0">
        <w:rPr>
          <w:rFonts w:ascii="微软雅黑" w:eastAsia="微软雅黑" w:hAnsi="微软雅黑" w:cs="宋体" w:hint="eastAsia"/>
          <w:color w:val="333333"/>
          <w:kern w:val="0"/>
          <w:szCs w:val="21"/>
          <w:bdr w:val="none" w:sz="0" w:space="0" w:color="auto" w:frame="1"/>
        </w:rPr>
        <w:t>第三十条  用人单位未依法参加工伤保险，工伤职工需要配置辅助器具的，按照本办法的相关规定执行，并由用人单位支付配置费用。</w:t>
      </w:r>
    </w:p>
    <w:p w:rsidR="003B2256"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第三十一条  本办法自2016年4 月1 日起施行。</w:t>
      </w:r>
    </w:p>
    <w:sectPr w:rsidR="003B2256" w:rsidRPr="00EE0DC0"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BC7" w:rsidRDefault="00705BC7" w:rsidP="003B2256">
      <w:r>
        <w:separator/>
      </w:r>
    </w:p>
  </w:endnote>
  <w:endnote w:type="continuationSeparator" w:id="0">
    <w:p w:rsidR="00705BC7" w:rsidRDefault="00705BC7"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674BE">
    <w:pPr>
      <w:tabs>
        <w:tab w:val="center" w:pos="4153"/>
        <w:tab w:val="right" w:pos="8306"/>
      </w:tabs>
      <w:rPr>
        <w:rFonts w:ascii="宋体" w:hAnsi="宋体" w:cs="宋体"/>
        <w:sz w:val="28"/>
        <w:szCs w:val="28"/>
      </w:rPr>
    </w:pPr>
    <w:r w:rsidRPr="006674BE">
      <w:rPr>
        <w:sz w:val="28"/>
      </w:rPr>
      <w:pict>
        <v:shapetype id="_x0000_t202" coordsize="21600,21600" o:spt="202" path="m,l,21600r21600,l21600,xe">
          <v:stroke joinstyle="miter"/>
          <v:path gradientshapeok="t" o:connecttype="rect"/>
        </v:shapetype>
        <v:shape id="_x0000_s3073" type="#_x0000_t202" style="position:absolute;left:0;text-align:left;margin-left:114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6674B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674BE">
                  <w:rPr>
                    <w:rFonts w:ascii="宋体" w:hAnsi="宋体" w:cs="宋体" w:hint="eastAsia"/>
                    <w:sz w:val="28"/>
                    <w:szCs w:val="28"/>
                  </w:rPr>
                  <w:fldChar w:fldCharType="separate"/>
                </w:r>
                <w:r w:rsidR="00143413">
                  <w:rPr>
                    <w:rFonts w:ascii="宋体" w:hAnsi="宋体" w:cs="宋体"/>
                    <w:noProof/>
                    <w:sz w:val="28"/>
                    <w:szCs w:val="28"/>
                  </w:rPr>
                  <w:t>2</w:t>
                </w:r>
                <w:r w:rsidR="006674B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674BE">
    <w:pPr>
      <w:tabs>
        <w:tab w:val="center" w:pos="4153"/>
        <w:tab w:val="right" w:pos="8306"/>
      </w:tabs>
      <w:rPr>
        <w:rFonts w:ascii="宋体" w:hAnsi="宋体" w:cs="宋体"/>
        <w:sz w:val="28"/>
        <w:szCs w:val="28"/>
      </w:rPr>
    </w:pPr>
    <w:r w:rsidRPr="006674BE">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6674B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674BE">
                  <w:rPr>
                    <w:rFonts w:ascii="宋体" w:hAnsi="宋体" w:cs="宋体" w:hint="eastAsia"/>
                    <w:sz w:val="28"/>
                    <w:szCs w:val="28"/>
                  </w:rPr>
                  <w:fldChar w:fldCharType="separate"/>
                </w:r>
                <w:r w:rsidR="00C37686">
                  <w:rPr>
                    <w:rFonts w:ascii="宋体" w:hAnsi="宋体" w:cs="宋体"/>
                    <w:noProof/>
                    <w:sz w:val="28"/>
                    <w:szCs w:val="28"/>
                  </w:rPr>
                  <w:t>1</w:t>
                </w:r>
                <w:r w:rsidR="006674B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BC7" w:rsidRDefault="00705BC7" w:rsidP="003B2256">
      <w:r>
        <w:separator/>
      </w:r>
    </w:p>
  </w:footnote>
  <w:footnote w:type="continuationSeparator" w:id="0">
    <w:p w:rsidR="00705BC7" w:rsidRDefault="00705BC7"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971C3"/>
    <w:rsid w:val="00231F90"/>
    <w:rsid w:val="00290080"/>
    <w:rsid w:val="00323D76"/>
    <w:rsid w:val="0032783B"/>
    <w:rsid w:val="003B2256"/>
    <w:rsid w:val="004064E8"/>
    <w:rsid w:val="00511EBC"/>
    <w:rsid w:val="00554EB8"/>
    <w:rsid w:val="0064282F"/>
    <w:rsid w:val="006674BE"/>
    <w:rsid w:val="00690873"/>
    <w:rsid w:val="00705BC7"/>
    <w:rsid w:val="007630C3"/>
    <w:rsid w:val="00793835"/>
    <w:rsid w:val="007B0DAB"/>
    <w:rsid w:val="00803A63"/>
    <w:rsid w:val="00872005"/>
    <w:rsid w:val="00984D89"/>
    <w:rsid w:val="009969A5"/>
    <w:rsid w:val="009E1211"/>
    <w:rsid w:val="00A4249B"/>
    <w:rsid w:val="00AF6B7C"/>
    <w:rsid w:val="00C37686"/>
    <w:rsid w:val="00CE7F49"/>
    <w:rsid w:val="00CF39F7"/>
    <w:rsid w:val="00D619CC"/>
    <w:rsid w:val="00D771C4"/>
    <w:rsid w:val="00DD58FE"/>
    <w:rsid w:val="00EB35A9"/>
    <w:rsid w:val="00EE0DC0"/>
    <w:rsid w:val="00EE5579"/>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AF6B7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5757718">
      <w:bodyDiv w:val="1"/>
      <w:marLeft w:val="0"/>
      <w:marRight w:val="0"/>
      <w:marTop w:val="0"/>
      <w:marBottom w:val="0"/>
      <w:divBdr>
        <w:top w:val="none" w:sz="0" w:space="0" w:color="auto"/>
        <w:left w:val="none" w:sz="0" w:space="0" w:color="auto"/>
        <w:bottom w:val="none" w:sz="0" w:space="0" w:color="auto"/>
        <w:right w:val="none" w:sz="0" w:space="0" w:color="auto"/>
      </w:divBdr>
    </w:div>
    <w:div w:id="1631397029">
      <w:bodyDiv w:val="1"/>
      <w:marLeft w:val="0"/>
      <w:marRight w:val="0"/>
      <w:marTop w:val="0"/>
      <w:marBottom w:val="0"/>
      <w:divBdr>
        <w:top w:val="none" w:sz="0" w:space="0" w:color="auto"/>
        <w:left w:val="none" w:sz="0" w:space="0" w:color="auto"/>
        <w:bottom w:val="none" w:sz="0" w:space="0" w:color="auto"/>
        <w:right w:val="none" w:sz="0" w:space="0" w:color="auto"/>
      </w:divBdr>
      <w:divsChild>
        <w:div w:id="7103036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35</TotalTime>
  <Pages>2</Pages>
  <Words>533</Words>
  <Characters>3041</Characters>
  <Application>Microsoft Office Word</Application>
  <DocSecurity>0</DocSecurity>
  <Lines>25</Lines>
  <Paragraphs>7</Paragraphs>
  <ScaleCrop>false</ScaleCrop>
  <Company>Newdaxie</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17</cp:revision>
  <dcterms:created xsi:type="dcterms:W3CDTF">2017-11-02T15:25:00Z</dcterms:created>
  <dcterms:modified xsi:type="dcterms:W3CDTF">2024-05-20T14:53:00Z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